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28468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28468C" w:rsidRPr="0028468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28468C" w:rsidRPr="0028468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74:10:0603001:47,</w:t>
      </w:r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ориентир: примерно в 960 метрах на северо-восток от участка №11, улица Большая, поселок Александровка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для </w:t>
      </w:r>
      <w:proofErr w:type="spellStart"/>
      <w:r w:rsidR="0028468C" w:rsidRPr="0028468C">
        <w:rPr>
          <w:rFonts w:ascii="Times New Roman" w:hAnsi="Times New Roman" w:cs="Times New Roman"/>
          <w:b/>
          <w:i/>
          <w:sz w:val="26"/>
          <w:szCs w:val="26"/>
          <w:u w:val="single"/>
        </w:rPr>
        <w:t>сельхозиспользования</w:t>
      </w:r>
      <w:proofErr w:type="spellEnd"/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28468C" w:rsidRPr="0028468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15000</w:t>
      </w:r>
      <w:r w:rsidR="0028468C" w:rsidRPr="0028468C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28468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ориентир: примерно в 960 метрах на северо-восток от участка №11, улица Большая, поселок Александровка</w:t>
      </w:r>
      <w:r w:rsidRPr="0028468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E2278" w:rsidRPr="006E2278" w:rsidRDefault="006E2278" w:rsidP="006E227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227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28468C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6E2278">
        <w:rPr>
          <w:rFonts w:ascii="Times New Roman" w:hAnsi="Times New Roman" w:cs="Times New Roman"/>
          <w:sz w:val="26"/>
          <w:szCs w:val="26"/>
        </w:rPr>
        <w:t xml:space="preserve">Арендатор принимает 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земельный участок из земель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6E2278" w:rsidRPr="0028468C">
        <w:rPr>
          <w:rFonts w:ascii="Times New Roman" w:hAnsi="Times New Roman" w:cs="Times New Roman"/>
          <w:sz w:val="26"/>
          <w:szCs w:val="26"/>
        </w:rPr>
        <w:t xml:space="preserve">, с </w:t>
      </w:r>
      <w:r w:rsidR="0028468C" w:rsidRPr="0028468C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>74:10:0603001:47</w:t>
      </w:r>
      <w:r w:rsidR="0028468C" w:rsidRPr="0028468C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>Челябинская область, Катав-Ивановский район, ориентир: примерно в 960 метрах на северо-восток от участка №11, улица Большая, поселок Александровка</w:t>
      </w:r>
      <w:r w:rsidR="0028468C" w:rsidRPr="0028468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 xml:space="preserve"> 15000 кв</w:t>
      </w:r>
      <w:proofErr w:type="gramStart"/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28468C" w:rsidRPr="0028468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28468C" w:rsidRPr="0028468C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28468C" w:rsidRPr="0028468C">
        <w:rPr>
          <w:rFonts w:ascii="Times New Roman" w:hAnsi="Times New Roman" w:cs="Times New Roman"/>
          <w:sz w:val="26"/>
          <w:szCs w:val="26"/>
        </w:rPr>
        <w:t>сельхозиспользования</w:t>
      </w:r>
      <w:proofErr w:type="spellEnd"/>
      <w:r w:rsidR="006E2278" w:rsidRPr="0028468C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28468C"/>
    <w:rsid w:val="006E2278"/>
    <w:rsid w:val="00764460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1485</Words>
  <Characters>8466</Characters>
  <Application>Microsoft Office Word</Application>
  <DocSecurity>0</DocSecurity>
  <Lines>70</Lines>
  <Paragraphs>19</Paragraphs>
  <ScaleCrop>false</ScaleCrop>
  <Company/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4</cp:revision>
  <dcterms:created xsi:type="dcterms:W3CDTF">2023-03-28T11:13:00Z</dcterms:created>
  <dcterms:modified xsi:type="dcterms:W3CDTF">2023-05-31T05:20:00Z</dcterms:modified>
</cp:coreProperties>
</file>